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14:paraId="00000001">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January, 8, 2018;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2">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3">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5">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6">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VC anywhere</w:t>
            </w:r>
          </w:p>
          <w:p w:rsidR="00000000" w:rsidDel="00000000" w:rsidP="00000000" w:rsidRDefault="00000000" w:rsidRPr="00000000" w14:paraId="00000008">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meet.vc.ubc.ca</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107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9-374</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227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rFonts w:ascii="Open Sans" w:cs="Open Sans" w:eastAsia="Open Sans" w:hAnsi="Open Sans"/>
                <w:sz w:val="20"/>
                <w:szCs w:val="20"/>
              </w:rPr>
            </w:pPr>
            <w:r w:rsidDel="00000000" w:rsidR="00000000" w:rsidRPr="00000000">
              <w:rPr>
                <w:rFonts w:ascii="Century Gothic" w:cs="Century Gothic" w:eastAsia="Century Gothic" w:hAnsi="Century Gothic"/>
                <w:rtl w:val="0"/>
              </w:rPr>
              <w:t xml:space="preserve">30302</w:t>
            </w:r>
            <w:r w:rsidDel="00000000" w:rsidR="00000000" w:rsidRPr="00000000">
              <w:rPr>
                <w:rtl w:val="0"/>
              </w:rPr>
            </w:r>
          </w:p>
        </w:tc>
      </w:tr>
    </w:tbl>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14:paraId="00000011">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6">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2">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14:paraId="00000013">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Dr. Harvey Lui (Faculty Advisor), Michael G (Year IV President), Tanjot Singh (PAC Rep), Daphne Lu (Past President),</w:t>
      </w:r>
      <w:r w:rsidDel="00000000" w:rsidR="00000000" w:rsidRPr="00000000">
        <w:rPr>
          <w:rFonts w:ascii="Open Sans" w:cs="Open Sans" w:eastAsia="Open Sans" w:hAnsi="Open Sans"/>
          <w:rtl w:val="0"/>
        </w:rPr>
        <w:t xml:space="preserve"> Stephanie (AMS Rep), Maichael Thejoe (Year II President), Laura Kim (President), Jas Hans (VP External), Nikunj Patel (Sports Director),Tony Chae (Year I President), Chloe Lim (Clubs Rep), Maya Rosenkrantz (VP Communications Sr.), Isaac Rodin (VP Communications Jr.), Dr. Bruce Fleming (Faculty Advisor), John Liu (VP Internal), Michelle Ng (Global Health Senior), Kingsley Shih (VP External Sr.)</w:t>
      </w:r>
    </w:p>
    <w:p w:rsidR="00000000" w:rsidDel="00000000" w:rsidP="00000000" w:rsidRDefault="00000000" w:rsidRPr="00000000" w14:paraId="00000014">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Jeff Chan (IT Officer Jr.), Karan (VP Academic Sr)., Rosie (VP SMP), Stephanie (VP SMP Social), Cirisse (VP Academic), Laura (VP NMP), Rebecca (VP NMP Social), Willow (indigenous health rep), Donna (VP Academic), Abhi Cherukupalli (VP Sponsorship Sr)</w:t>
      </w:r>
    </w:p>
    <w:p w:rsidR="00000000" w:rsidDel="00000000" w:rsidP="00000000" w:rsidRDefault="00000000" w:rsidRPr="00000000" w14:paraId="00000015">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6">
      <w:pPr>
        <w:spacing w:after="200" w:line="331.2" w:lineRule="auto"/>
        <w:contextualSpacing w:val="0"/>
        <w:rPr>
          <w:rFonts w:ascii="Open Sans" w:cs="Open Sans" w:eastAsia="Open Sans" w:hAnsi="Open Sans"/>
        </w:rPr>
      </w:pPr>
      <w:r w:rsidDel="00000000" w:rsidR="00000000" w:rsidRPr="00000000">
        <w:rPr>
          <w:rtl w:val="0"/>
        </w:rPr>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7">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8">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9">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A">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Maichael T</w:t>
            </w:r>
          </w:p>
          <w:p w:rsidR="00000000" w:rsidDel="00000000" w:rsidP="00000000" w:rsidRDefault="00000000" w:rsidRPr="00000000" w14:paraId="0000001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Daphne </w:t>
            </w:r>
          </w:p>
          <w:p w:rsidR="00000000" w:rsidDel="00000000" w:rsidP="00000000" w:rsidRDefault="00000000" w:rsidRPr="00000000" w14:paraId="0000001D">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E">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7:08</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F">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14:paraId="0000002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21">
            <w:pPr>
              <w:spacing w:line="288" w:lineRule="auto"/>
              <w:contextualSpacing w:val="0"/>
              <w:rPr>
                <w:rFonts w:ascii="Open Sans" w:cs="Open Sans" w:eastAsia="Open Sans" w:hAnsi="Open Sans"/>
                <w:shd w:fill="cccccc" w:val="clear"/>
              </w:rPr>
            </w:pPr>
            <w:hyperlink r:id="rId8">
              <w:r w:rsidDel="00000000" w:rsidR="00000000" w:rsidRPr="00000000">
                <w:rPr>
                  <w:rFonts w:ascii="Open Sans" w:cs="Open Sans" w:eastAsia="Open Sans" w:hAnsi="Open Sans"/>
                  <w:color w:val="1155cc"/>
                  <w:u w:val="single"/>
                  <w:shd w:fill="cccccc" w:val="clear"/>
                  <w:rtl w:val="0"/>
                </w:rPr>
                <w:t xml:space="preserve">https://docs.google.com/document/d/1UjsGxC4j4jHZc70x0i6CAmWtpR0a8CoS5dHVBzfwEkc/edit?usp=sharing</w:t>
              </w:r>
            </w:hyperlink>
            <w:r w:rsidDel="00000000" w:rsidR="00000000" w:rsidRPr="00000000">
              <w:rPr>
                <w:rtl w:val="0"/>
              </w:rPr>
            </w:r>
          </w:p>
          <w:p w:rsidR="00000000" w:rsidDel="00000000" w:rsidP="00000000" w:rsidRDefault="00000000" w:rsidRPr="00000000" w14:paraId="00000022">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23">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4">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 Michael G</w:t>
            </w:r>
            <w:r w:rsidDel="00000000" w:rsidR="00000000" w:rsidRPr="00000000">
              <w:rPr>
                <w:rtl w:val="0"/>
              </w:rPr>
            </w:r>
          </w:p>
          <w:p w:rsidR="00000000" w:rsidDel="00000000" w:rsidP="00000000" w:rsidRDefault="00000000" w:rsidRPr="00000000" w14:paraId="0000002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John L</w:t>
            </w:r>
          </w:p>
          <w:p w:rsidR="00000000" w:rsidDel="00000000" w:rsidP="00000000" w:rsidRDefault="00000000" w:rsidRPr="00000000" w14:paraId="00000026">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7">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7:08</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8">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Remarks from the Chair</w:t>
            </w:r>
          </w:p>
          <w:p w:rsidR="00000000" w:rsidDel="00000000" w:rsidP="00000000" w:rsidRDefault="00000000" w:rsidRPr="00000000" w14:paraId="00000029">
            <w:pPr>
              <w:numPr>
                <w:ilvl w:val="0"/>
                <w:numId w:val="2"/>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Happy new year!</w:t>
            </w:r>
          </w:p>
          <w:p w:rsidR="00000000" w:rsidDel="00000000" w:rsidP="00000000" w:rsidRDefault="00000000" w:rsidRPr="00000000" w14:paraId="0000002A">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Best of luck to 4th years for carms tour!</w:t>
            </w:r>
          </w:p>
          <w:p w:rsidR="00000000" w:rsidDel="00000000" w:rsidP="00000000" w:rsidRDefault="00000000" w:rsidRPr="00000000" w14:paraId="0000002B">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Encourage classmates to use westjet discount from CFMS</w:t>
            </w:r>
          </w:p>
          <w:p w:rsidR="00000000" w:rsidDel="00000000" w:rsidP="00000000" w:rsidRDefault="00000000" w:rsidRPr="00000000" w14:paraId="0000002C">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Med Gala coming up soon - MUS is taking more of an active role in the management of gala</w:t>
            </w:r>
          </w:p>
          <w:p w:rsidR="00000000" w:rsidDel="00000000" w:rsidP="00000000" w:rsidRDefault="00000000" w:rsidRPr="00000000" w14:paraId="0000002D">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John make committee to screen everything and make sure its keeping with values of the MUS</w:t>
            </w:r>
          </w:p>
          <w:p w:rsidR="00000000" w:rsidDel="00000000" w:rsidP="00000000" w:rsidRDefault="00000000" w:rsidRPr="00000000" w14:paraId="0000002E">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Career Planning Surveys</w:t>
            </w:r>
          </w:p>
          <w:p w:rsidR="00000000" w:rsidDel="00000000" w:rsidP="00000000" w:rsidRDefault="00000000" w:rsidRPr="00000000" w14:paraId="0000002F">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Done collecting data (not 2018 yet) </w:t>
            </w:r>
          </w:p>
          <w:p w:rsidR="00000000" w:rsidDel="00000000" w:rsidP="00000000" w:rsidRDefault="00000000" w:rsidRPr="00000000" w14:paraId="00000030">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Michael T and Michael R and Laura will review + make recommendations to faculty</w:t>
            </w:r>
            <w:r w:rsidDel="00000000" w:rsidR="00000000" w:rsidRPr="00000000">
              <w:rPr>
                <w:rtl w:val="0"/>
              </w:rPr>
            </w:r>
          </w:p>
          <w:p w:rsidR="00000000" w:rsidDel="00000000" w:rsidP="00000000" w:rsidRDefault="00000000" w:rsidRPr="00000000" w14:paraId="00000031">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Question about the gala - what mean by MUS principles?</w:t>
            </w:r>
          </w:p>
          <w:p w:rsidR="00000000" w:rsidDel="00000000" w:rsidP="00000000" w:rsidRDefault="00000000" w:rsidRPr="00000000" w14:paraId="00000032">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Incidents in the past caused the faculty to encourage MUS to oversee gala’s contents</w:t>
            </w:r>
          </w:p>
          <w:p w:rsidR="00000000" w:rsidDel="00000000" w:rsidP="00000000" w:rsidRDefault="00000000" w:rsidRPr="00000000" w14:paraId="00000033">
            <w:pPr>
              <w:numPr>
                <w:ilvl w:val="1"/>
                <w:numId w:val="2"/>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 committee will be struck in speaking with dr. Parhar that will vet the scripts to ensure professionalism</w:t>
            </w:r>
          </w:p>
          <w:p w:rsidR="00000000" w:rsidDel="00000000" w:rsidP="00000000" w:rsidRDefault="00000000" w:rsidRPr="00000000" w14:paraId="00000034">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John: Reviewing the MC script is the important (opportunity for lots of creativity, want it to be appropriate) </w:t>
            </w:r>
          </w:p>
          <w:p w:rsidR="00000000" w:rsidDel="00000000" w:rsidP="00000000" w:rsidRDefault="00000000" w:rsidRPr="00000000" w14:paraId="00000035">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Tricky, want people to put forward talent. Wasn’t aware there was an issue but can understand how there is potential. However, trying to vet entire script is a hard task, some is “vetable” but some is ad-hoc. Thinks key decision is the MC, assigning the correct person.</w:t>
            </w:r>
          </w:p>
          <w:p w:rsidR="00000000" w:rsidDel="00000000" w:rsidP="00000000" w:rsidRDefault="00000000" w:rsidRPr="00000000" w14:paraId="00000036">
            <w:pPr>
              <w:numPr>
                <w:ilvl w:val="0"/>
                <w:numId w:val="2"/>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We will keep this in mind for our first meeting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7">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8">
            <w:pPr>
              <w:spacing w:line="288" w:lineRule="auto"/>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7:08</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9">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MD 2021 - Class VP NMP By-Election Results</w:t>
            </w:r>
          </w:p>
          <w:p w:rsidR="00000000" w:rsidDel="00000000" w:rsidP="00000000" w:rsidRDefault="00000000" w:rsidRPr="00000000" w14:paraId="0000003A">
            <w:pPr>
              <w:numPr>
                <w:ilvl w:val="0"/>
                <w:numId w:val="4"/>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By-election for VP NMP - Matthew Webber elected</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Tony Chae (Year I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7:14</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D">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Health Caucus Meeting</w:t>
            </w:r>
          </w:p>
          <w:p w:rsidR="00000000" w:rsidDel="00000000" w:rsidP="00000000" w:rsidRDefault="00000000" w:rsidRPr="00000000" w14:paraId="0000003E">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Michelle is</w:t>
            </w:r>
            <w:r w:rsidDel="00000000" w:rsidR="00000000" w:rsidRPr="00000000">
              <w:rPr>
                <w:rFonts w:ascii="Open Sans" w:cs="Open Sans" w:eastAsia="Open Sans" w:hAnsi="Open Sans"/>
                <w:shd w:fill="cccccc" w:val="clear"/>
                <w:rtl w:val="0"/>
              </w:rPr>
              <w:t xml:space="preserve"> part of Health Caucus - a group of health discipline students that meet about twice per semester. </w:t>
            </w:r>
          </w:p>
          <w:p w:rsidR="00000000" w:rsidDel="00000000" w:rsidP="00000000" w:rsidRDefault="00000000" w:rsidRPr="00000000" w14:paraId="0000003F">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It's organized through UBC Health. We can provide feedback on curriculum proposals on interdisciplinary education, and other student issues that the caucus brings forward. It's also an opportunity to meet other health discipline students. The Health Caucus is very eager for more representation from medical students.</w:t>
            </w:r>
          </w:p>
          <w:p w:rsidR="00000000" w:rsidDel="00000000" w:rsidP="00000000" w:rsidRDefault="00000000" w:rsidRPr="00000000" w14:paraId="00000040">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Michelle is unable to make the next meeting on Jan 15th. If you are interested in attending, please </w:t>
            </w:r>
            <w:r w:rsidDel="00000000" w:rsidR="00000000" w:rsidRPr="00000000">
              <w:rPr>
                <w:rFonts w:ascii="Open Sans" w:cs="Open Sans" w:eastAsia="Open Sans" w:hAnsi="Open Sans"/>
                <w:shd w:fill="cccccc" w:val="clear"/>
                <w:rtl w:val="0"/>
              </w:rPr>
              <w:t xml:space="preserve">let</w:t>
            </w:r>
            <w:r w:rsidDel="00000000" w:rsidR="00000000" w:rsidRPr="00000000">
              <w:rPr>
                <w:rFonts w:ascii="Open Sans" w:cs="Open Sans" w:eastAsia="Open Sans" w:hAnsi="Open Sans"/>
                <w:shd w:fill="cccccc" w:val="clear"/>
                <w:rtl w:val="0"/>
              </w:rPr>
              <w:t xml:space="preserve"> her know mich.ng@alumni.ubc.ca</w:t>
              <w:br w:type="textWrapping"/>
              <w:br w:type="textWrapping"/>
              <w:t xml:space="preserve">Topic: Health Student Caucus Meeting</w:t>
              <w:br w:type="textWrapping"/>
              <w:t xml:space="preserve">Date: Monday, January 15, 2018</w:t>
              <w:br w:type="textWrapping"/>
              <w:t xml:space="preserve">Time: 12:00pm-1:00pm</w:t>
              <w:br w:type="textWrapping"/>
              <w:t xml:space="preserve">Location: Woodward IRC Room 414 </w:t>
            </w:r>
          </w:p>
          <w:p w:rsidR="00000000" w:rsidDel="00000000" w:rsidP="00000000" w:rsidRDefault="00000000" w:rsidRPr="00000000" w14:paraId="00000041">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Mainly for UBC health to have students as a sounding board for interprofessional health education</w:t>
            </w:r>
          </w:p>
          <w:p w:rsidR="00000000" w:rsidDel="00000000" w:rsidP="00000000" w:rsidRDefault="00000000" w:rsidRPr="00000000" w14:paraId="00000042">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Education committee will recruit 2 students for next year </w:t>
            </w:r>
          </w:p>
          <w:p w:rsidR="00000000" w:rsidDel="00000000" w:rsidP="00000000" w:rsidRDefault="00000000" w:rsidRPr="00000000" w14:paraId="00000043">
            <w:pPr>
              <w:numPr>
                <w:ilvl w:val="0"/>
                <w:numId w:val="8"/>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Initially want someone to sub in for Jan 15th. But the education committee is going to recruit for Michelle’s replacement</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4">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Michelle Ng (VP Global Health Sr)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7:15</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46">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Lobby Day Updates</w:t>
            </w:r>
          </w:p>
          <w:p w:rsidR="00000000" w:rsidDel="00000000" w:rsidP="00000000" w:rsidRDefault="00000000" w:rsidRPr="00000000" w14:paraId="00000047">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Lobby day  is feb 26th</w:t>
            </w:r>
          </w:p>
          <w:p w:rsidR="00000000" w:rsidDel="00000000" w:rsidP="00000000" w:rsidRDefault="00000000" w:rsidRPr="00000000" w14:paraId="00000048">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Just closed recruitment for students to attend - 48 applications</w:t>
            </w:r>
          </w:p>
          <w:p w:rsidR="00000000" w:rsidDel="00000000" w:rsidP="00000000" w:rsidRDefault="00000000" w:rsidRPr="00000000" w14:paraId="00000049">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SIFunds have been found from previous years and CFMS gave 1700 to take everyone who wants to attend - question is do we want to send everyone who wants to attend?</w:t>
            </w:r>
          </w:p>
          <w:p w:rsidR="00000000" w:rsidDel="00000000" w:rsidP="00000000" w:rsidRDefault="00000000" w:rsidRPr="00000000" w14:paraId="0000004A">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 could have use for everyone but this could be a conversation</w:t>
            </w:r>
          </w:p>
          <w:p w:rsidR="00000000" w:rsidDel="00000000" w:rsidP="00000000" w:rsidRDefault="00000000" w:rsidRPr="00000000" w14:paraId="0000004B">
            <w:pPr>
              <w:numPr>
                <w:ilvl w:val="0"/>
                <w:numId w:val="3"/>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Some schools are doing advocacy around cannabis</w:t>
            </w:r>
          </w:p>
          <w:p w:rsidR="00000000" w:rsidDel="00000000" w:rsidP="00000000" w:rsidRDefault="00000000" w:rsidRPr="00000000" w14:paraId="0000004C">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UofS had a “Cannabis Debate”</w:t>
            </w:r>
          </w:p>
          <w:p w:rsidR="00000000" w:rsidDel="00000000" w:rsidP="00000000" w:rsidRDefault="00000000" w:rsidRPr="00000000" w14:paraId="0000004D">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PAC might want to  run something like this in March and recruit a panel of people</w:t>
            </w:r>
          </w:p>
          <w:p w:rsidR="00000000" w:rsidDel="00000000" w:rsidP="00000000" w:rsidRDefault="00000000" w:rsidRPr="00000000" w14:paraId="0000004E">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is controversy on the topic so wanted to bring up to the MUS and faculty</w:t>
            </w:r>
          </w:p>
          <w:p w:rsidR="00000000" w:rsidDel="00000000" w:rsidP="00000000" w:rsidRDefault="00000000" w:rsidRPr="00000000" w14:paraId="0000004F">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Format: 2-3 speakers and 1 moderator, series of questions, balanced set of views, audience participation in the end</w:t>
            </w:r>
          </w:p>
          <w:p w:rsidR="00000000" w:rsidDel="00000000" w:rsidP="00000000" w:rsidRDefault="00000000" w:rsidRPr="00000000" w14:paraId="00000050">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Jas: People would be interested. Who would be invited to speak?</w:t>
            </w:r>
          </w:p>
          <w:p w:rsidR="00000000" w:rsidDel="00000000" w:rsidP="00000000" w:rsidRDefault="00000000" w:rsidRPr="00000000" w14:paraId="00000051">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Tanjot: Faculty (if someone has been quite involved), politician, community advocacy, etc</w:t>
            </w:r>
          </w:p>
          <w:p w:rsidR="00000000" w:rsidDel="00000000" w:rsidP="00000000" w:rsidRDefault="00000000" w:rsidRPr="00000000" w14:paraId="00000052">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Daphne: Interesting and timely idea. Dont suspect faculty will have any objections to this. Cannabis education is part of the PMP course.</w:t>
            </w:r>
          </w:p>
          <w:p w:rsidR="00000000" w:rsidDel="00000000" w:rsidP="00000000" w:rsidRDefault="00000000" w:rsidRPr="00000000" w14:paraId="00000053">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Depends on the spin. Balanced panel is important. What is the content of the presentation? Approach take and message want to send is key. </w:t>
            </w:r>
          </w:p>
          <w:p w:rsidR="00000000" w:rsidDel="00000000" w:rsidP="00000000" w:rsidRDefault="00000000" w:rsidRPr="00000000" w14:paraId="00000054">
            <w:pPr>
              <w:numPr>
                <w:ilvl w:val="2"/>
                <w:numId w:val="3"/>
              </w:numPr>
              <w:spacing w:line="288" w:lineRule="auto"/>
              <w:ind w:left="216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People to invite: Jeff Brubacher - does work on cannabis and impaired driving. Testing costs 15-20 dollars per test.</w:t>
            </w:r>
          </w:p>
          <w:p w:rsidR="00000000" w:rsidDel="00000000" w:rsidP="00000000" w:rsidRDefault="00000000" w:rsidRPr="00000000" w14:paraId="00000055">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Lui: Depends on the context, if this is meant to be a forum and there are disclaimers about the role of the MUS it is a good thing to do. Individuals can take positions but not the MUS.</w:t>
            </w:r>
          </w:p>
          <w:p w:rsidR="00000000" w:rsidDel="00000000" w:rsidP="00000000" w:rsidRDefault="00000000" w:rsidRPr="00000000" w14:paraId="00000056">
            <w:pPr>
              <w:numPr>
                <w:ilvl w:val="1"/>
                <w:numId w:val="3"/>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Never hurts to run things by faculty, like Dr. Parhar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7">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Tanjot Singh (PAC Chair Sr)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8">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9">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Student Access Committee </w:t>
            </w:r>
          </w:p>
          <w:p w:rsidR="00000000" w:rsidDel="00000000" w:rsidP="00000000" w:rsidRDefault="00000000" w:rsidRPr="00000000" w14:paraId="0000005A">
            <w:pPr>
              <w:numPr>
                <w:ilvl w:val="0"/>
                <w:numId w:val="7"/>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We will be calling general members to join this committee - to review the MC script and grad skit for gala and make sure it’s professional and in keeping with MUS principles</w:t>
            </w:r>
          </w:p>
          <w:p w:rsidR="00000000" w:rsidDel="00000000" w:rsidP="00000000" w:rsidRDefault="00000000" w:rsidRPr="00000000" w14:paraId="0000005B">
            <w:pPr>
              <w:numPr>
                <w:ilvl w:val="0"/>
                <w:numId w:val="7"/>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Anyone, not just MUS members can do this</w:t>
            </w:r>
          </w:p>
          <w:p w:rsidR="00000000" w:rsidDel="00000000" w:rsidP="00000000" w:rsidRDefault="00000000" w:rsidRPr="00000000" w14:paraId="0000005C">
            <w:pPr>
              <w:numPr>
                <w:ilvl w:val="1"/>
                <w:numId w:val="7"/>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Any student years 1-4</w:t>
            </w:r>
          </w:p>
          <w:p w:rsidR="00000000" w:rsidDel="00000000" w:rsidP="00000000" w:rsidRDefault="00000000" w:rsidRPr="00000000" w14:paraId="0000005D">
            <w:pPr>
              <w:numPr>
                <w:ilvl w:val="1"/>
                <w:numId w:val="7"/>
              </w:numPr>
              <w:spacing w:line="288" w:lineRule="auto"/>
              <w:ind w:left="144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John, Laura, Daphne, Med Gala execs will be part of it</w:t>
            </w:r>
          </w:p>
          <w:p w:rsidR="00000000" w:rsidDel="00000000" w:rsidP="00000000" w:rsidRDefault="00000000" w:rsidRPr="00000000" w14:paraId="0000005E">
            <w:pPr>
              <w:numPr>
                <w:ilvl w:val="0"/>
                <w:numId w:val="7"/>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Not the same as the student access committee </w:t>
            </w:r>
          </w:p>
          <w:p w:rsidR="00000000" w:rsidDel="00000000" w:rsidP="00000000" w:rsidRDefault="00000000" w:rsidRPr="00000000" w14:paraId="0000005F">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Ideas for names - will be brought to Dr. Parhar</w:t>
            </w:r>
          </w:p>
          <w:p w:rsidR="00000000" w:rsidDel="00000000" w:rsidP="00000000" w:rsidRDefault="00000000" w:rsidRPr="00000000" w14:paraId="00000060">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Gala Inclusivity Committee</w:t>
            </w:r>
          </w:p>
          <w:p w:rsidR="00000000" w:rsidDel="00000000" w:rsidP="00000000" w:rsidRDefault="00000000" w:rsidRPr="00000000" w14:paraId="00000061">
            <w:pPr>
              <w:numPr>
                <w:ilvl w:val="1"/>
                <w:numId w:val="7"/>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Gala Transparency Committee</w:t>
            </w:r>
          </w:p>
          <w:p w:rsidR="00000000" w:rsidDel="00000000" w:rsidP="00000000" w:rsidRDefault="00000000" w:rsidRPr="00000000" w14:paraId="00000062">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Abhi - has the title been publicized or is it just within the MUS? </w:t>
            </w:r>
          </w:p>
          <w:p w:rsidR="00000000" w:rsidDel="00000000" w:rsidP="00000000" w:rsidRDefault="00000000" w:rsidRPr="00000000" w14:paraId="00000063">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 only discussions have been Laura, John, and Gala Producers. </w:t>
            </w:r>
          </w:p>
          <w:p w:rsidR="00000000" w:rsidDel="00000000" w:rsidP="00000000" w:rsidRDefault="00000000" w:rsidRPr="00000000" w14:paraId="00000064">
            <w:pPr>
              <w:numPr>
                <w:ilvl w:val="0"/>
                <w:numId w:val="7"/>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Abhi - would advise changing it because having two Student Access Committees might be confusing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6">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7:27</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7">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Governance Restructuring</w:t>
            </w:r>
          </w:p>
          <w:p w:rsidR="00000000" w:rsidDel="00000000" w:rsidP="00000000" w:rsidRDefault="00000000" w:rsidRPr="00000000" w14:paraId="00000068">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Dec. Laura, Daphne, Rosie, Micahel T, Michael R, and John met and planned for governance restructuring</w:t>
            </w:r>
          </w:p>
          <w:p w:rsidR="00000000" w:rsidDel="00000000" w:rsidP="00000000" w:rsidRDefault="00000000" w:rsidRPr="00000000" w14:paraId="00000069">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You may be asked some questions from your department heads on what your role is and whether it matches with the current MUS constitution</w:t>
            </w:r>
          </w:p>
          <w:p w:rsidR="00000000" w:rsidDel="00000000" w:rsidP="00000000" w:rsidRDefault="00000000" w:rsidRPr="00000000" w14:paraId="0000006A">
            <w:pPr>
              <w:numPr>
                <w:ilvl w:val="0"/>
                <w:numId w:val="1"/>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Next meeting: planning for the future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B">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C">
            <w:pPr>
              <w:spacing w:line="288" w:lineRule="auto"/>
              <w:contextualSpacing w:val="0"/>
              <w:jc w:val="right"/>
              <w:rPr>
                <w:rFonts w:ascii="Open Sans" w:cs="Open Sans" w:eastAsia="Open Sans" w:hAnsi="Open Sans"/>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D">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Updates from Daphne</w:t>
            </w:r>
          </w:p>
          <w:p w:rsidR="00000000" w:rsidDel="00000000" w:rsidP="00000000" w:rsidRDefault="00000000" w:rsidRPr="00000000" w14:paraId="0000006E">
            <w:pPr>
              <w:numPr>
                <w:ilvl w:val="0"/>
                <w:numId w:val="9"/>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New faculty lead for Quality Improvement and Accreditation has been appointed - Dr. Sharon Shalloum</w:t>
            </w:r>
          </w:p>
          <w:p w:rsidR="00000000" w:rsidDel="00000000" w:rsidP="00000000" w:rsidRDefault="00000000" w:rsidRPr="00000000" w14:paraId="0000006F">
            <w:pPr>
              <w:numPr>
                <w:ilvl w:val="1"/>
                <w:numId w:val="9"/>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MUS members will be meeting with her for positive relationships with faculty leads during accreditation process </w:t>
            </w:r>
          </w:p>
          <w:p w:rsidR="00000000" w:rsidDel="00000000" w:rsidP="00000000" w:rsidRDefault="00000000" w:rsidRPr="00000000" w14:paraId="00000070">
            <w:pPr>
              <w:numPr>
                <w:ilvl w:val="1"/>
                <w:numId w:val="9"/>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Cirisse - Laura and other NMPers went to Orlando for Institute for Healthcare Quality Improvement. </w:t>
            </w:r>
          </w:p>
          <w:p w:rsidR="00000000" w:rsidDel="00000000" w:rsidP="00000000" w:rsidRDefault="00000000" w:rsidRPr="00000000" w14:paraId="00000071">
            <w:pPr>
              <w:numPr>
                <w:ilvl w:val="1"/>
                <w:numId w:val="9"/>
              </w:numPr>
              <w:spacing w:line="288" w:lineRule="auto"/>
              <w:ind w:left="144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 Dr. Shalloum is a Family Doctor who was in the Student Affairs office before Dr. McMillan </w:t>
            </w:r>
          </w:p>
          <w:p w:rsidR="00000000" w:rsidDel="00000000" w:rsidP="00000000" w:rsidRDefault="00000000" w:rsidRPr="00000000" w14:paraId="00000072">
            <w:pPr>
              <w:numPr>
                <w:ilvl w:val="0"/>
                <w:numId w:val="9"/>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invited to have breakfast with President Ono, but I am going instead because she cannot attend</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3">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4">
            <w:pPr>
              <w:spacing w:line="288" w:lineRule="auto"/>
              <w:contextualSpacing w:val="0"/>
              <w:jc w:val="right"/>
              <w:rPr>
                <w:rFonts w:ascii="Open Sans" w:cs="Open Sans" w:eastAsia="Open Sans" w:hAnsi="Open Sans"/>
              </w:rPr>
            </w:pPr>
            <w:r w:rsidDel="00000000" w:rsidR="00000000" w:rsidRPr="00000000">
              <w:rPr>
                <w:rFonts w:ascii="Open Sans" w:cs="Open Sans" w:eastAsia="Open Sans" w:hAnsi="Open Sans"/>
                <w:rtl w:val="0"/>
              </w:rPr>
              <w:t xml:space="preserve">7:33</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5">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CFMS National Officer of Indigenous Health Updates</w:t>
            </w:r>
          </w:p>
          <w:p w:rsidR="00000000" w:rsidDel="00000000" w:rsidP="00000000" w:rsidRDefault="00000000" w:rsidRPr="00000000" w14:paraId="00000076">
            <w:pPr>
              <w:numPr>
                <w:ilvl w:val="0"/>
                <w:numId w:val="6"/>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Schools are being held accountable by “report cards” on how they are meeting the needs for indigenous health in the curriculum</w:t>
            </w:r>
          </w:p>
          <w:p w:rsidR="00000000" w:rsidDel="00000000" w:rsidP="00000000" w:rsidRDefault="00000000" w:rsidRPr="00000000" w14:paraId="00000077">
            <w:pPr>
              <w:spacing w:line="288" w:lineRule="auto"/>
              <w:contextualSpacing w:val="0"/>
              <w:rPr>
                <w:rFonts w:ascii="Open Sans" w:cs="Open Sans" w:eastAsia="Open Sans" w:hAnsi="Open Sans"/>
                <w:b w:val="1"/>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8">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9">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7A">
            <w:pPr>
              <w:spacing w:line="288" w:lineRule="auto"/>
              <w:contextualSpacing w:val="0"/>
              <w:jc w:val="center"/>
              <w:rPr>
                <w:rFonts w:ascii="Open Sans" w:cs="Open Sans" w:eastAsia="Open Sans" w:hAnsi="Open Sans"/>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B">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Updates from Thaejoe - pagers</w:t>
            </w:r>
          </w:p>
          <w:p w:rsidR="00000000" w:rsidDel="00000000" w:rsidP="00000000" w:rsidRDefault="00000000" w:rsidRPr="00000000" w14:paraId="0000007C">
            <w:pPr>
              <w:numPr>
                <w:ilvl w:val="0"/>
                <w:numId w:val="5"/>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Had meeting with Year 3/4 working group. Brought up with Dr. Holmes. Initial response is that it has been a health authority requirement since cell phones are not always reliable and there are confidentiality issues. However, seems to be quite a heterogeneous environment when it comes to pagers (SMP doesn’t use them, IMP provides themselves). A lot of research is going into who made the decision that medical students need pagers. </w:t>
            </w:r>
          </w:p>
          <w:p w:rsidR="00000000" w:rsidDel="00000000" w:rsidP="00000000" w:rsidRDefault="00000000" w:rsidRPr="00000000" w14:paraId="0000007D">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Faculty leads in years ¾ are working to contact sites, health authorities, and faculty to let us know whether the 2020 class will need pagers; but may not come to a resolution quickly</w:t>
            </w:r>
          </w:p>
          <w:p w:rsidR="00000000" w:rsidDel="00000000" w:rsidP="00000000" w:rsidRDefault="00000000" w:rsidRPr="00000000" w14:paraId="0000007E">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There is no guarantee that the funding from student affairs would be made available for students if not used for pagers </w:t>
            </w:r>
          </w:p>
          <w:p w:rsidR="00000000" w:rsidDel="00000000" w:rsidP="00000000" w:rsidRDefault="00000000" w:rsidRPr="00000000" w14:paraId="0000007F">
            <w:pPr>
              <w:numPr>
                <w:ilvl w:val="0"/>
                <w:numId w:val="5"/>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Fleming: going forward, certain Dr. Holmes and the rest of stakeholders will make a good decision. Pagers may really be superfluous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0">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1">
            <w:pPr>
              <w:spacing w:line="288" w:lineRule="auto"/>
              <w:contextualSpacing w:val="0"/>
              <w:jc w:val="right"/>
              <w:rPr>
                <w:rFonts w:ascii="Open Sans" w:cs="Open Sans" w:eastAsia="Open Sans" w:hAnsi="Open Sans"/>
              </w:rPr>
            </w:pPr>
            <w:r w:rsidDel="00000000" w:rsidR="00000000" w:rsidRPr="00000000">
              <w:rPr>
                <w:rFonts w:ascii="Open Sans" w:cs="Open Sans" w:eastAsia="Open Sans" w:hAnsi="Open Sans"/>
                <w:rtl w:val="0"/>
              </w:rPr>
              <w:t xml:space="preserve">7:36</w:t>
            </w:r>
          </w:p>
        </w:tc>
      </w:tr>
    </w:tbl>
    <w:p w:rsidR="00000000" w:rsidDel="00000000" w:rsidP="00000000" w:rsidRDefault="00000000" w:rsidRPr="00000000" w14:paraId="00000082">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Motion to Adjourn</w:t>
        <w:tab/>
        <w:tab/>
        <w:tab/>
        <w:tab/>
        <w:tab/>
        <w:tab/>
        <w:tab/>
        <w:tab/>
        <w:tab/>
        <w:t xml:space="preserve">       7:42</w:t>
      </w:r>
    </w:p>
    <w:p w:rsidR="00000000" w:rsidDel="00000000" w:rsidP="00000000" w:rsidRDefault="00000000" w:rsidRPr="00000000" w14:paraId="00000083">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Moved: Maya</w:t>
        <w:tab/>
      </w:r>
    </w:p>
    <w:p w:rsidR="00000000" w:rsidDel="00000000" w:rsidP="00000000" w:rsidRDefault="00000000" w:rsidRPr="00000000" w14:paraId="00000084">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Seconded: Jas</w:t>
      </w:r>
    </w:p>
    <w:p w:rsidR="00000000" w:rsidDel="00000000" w:rsidP="00000000" w:rsidRDefault="00000000" w:rsidRPr="00000000" w14:paraId="00000085">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favour: all</w:t>
      </w:r>
    </w:p>
    <w:p w:rsidR="00000000" w:rsidDel="00000000" w:rsidP="00000000" w:rsidRDefault="00000000" w:rsidRPr="00000000" w14:paraId="00000086">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0B_Tvsan78wlXRlpyTVdHcGt1LWs" TargetMode="External"/><Relationship Id="rId7" Type="http://schemas.openxmlformats.org/officeDocument/2006/relationships/hyperlink" Target="https://docs.google.com/spreadsheets/d/1xRhJgWw1HO1WCCow81b08NXrNA4ATVgPj23hbpcZ0iE/edit?usp=sharing" TargetMode="External"/><Relationship Id="rId8" Type="http://schemas.openxmlformats.org/officeDocument/2006/relationships/hyperlink" Target="https://docs.google.com/document/d/1UjsGxC4j4jHZc70x0i6CAmWtpR0a8CoS5dHVBzfwEk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